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48"/>
          <w:szCs w:val="48"/>
        </w:rPr>
      </w:pPr>
      <w:r w:rsidDel="00000000" w:rsidR="00000000" w:rsidRPr="00000000">
        <w:rPr>
          <w:sz w:val="48"/>
          <w:szCs w:val="48"/>
        </w:rPr>
        <w:drawing>
          <wp:inline distB="0" distT="0" distL="0" distR="0">
            <wp:extent cx="1024795" cy="1009650"/>
            <wp:effectExtent b="0" l="0" r="0" t="0"/>
            <wp:docPr descr="VÃ½sledek obrÃ¡zku pro znak obce Sedlice" id="1" name="image1.jpg"/>
            <a:graphic>
              <a:graphicData uri="http://schemas.openxmlformats.org/drawingml/2006/picture">
                <pic:pic>
                  <pic:nvPicPr>
                    <pic:cNvPr descr="VÃ½sledek obrÃ¡zku pro znak obce Sedlice" id="0" name="image1.jpg"/>
                    <pic:cNvPicPr preferRelativeResize="0"/>
                  </pic:nvPicPr>
                  <pic:blipFill>
                    <a:blip r:embed="rId6"/>
                    <a:srcRect b="0" l="0" r="0" t="0"/>
                    <a:stretch>
                      <a:fillRect/>
                    </a:stretch>
                  </pic:blipFill>
                  <pic:spPr>
                    <a:xfrm>
                      <a:off x="0" y="0"/>
                      <a:ext cx="1024795"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jc w:val="center"/>
        <w:rPr>
          <w:rFonts w:ascii="Times New Roman" w:cs="Times New Roman" w:eastAsia="Times New Roman" w:hAnsi="Times New Roman"/>
          <w:b w:val="1"/>
          <w:sz w:val="48"/>
          <w:szCs w:val="48"/>
        </w:rPr>
      </w:pPr>
      <w:r w:rsidDel="00000000" w:rsidR="00000000" w:rsidRPr="00000000">
        <w:rPr>
          <w:b w:val="1"/>
          <w:sz w:val="48"/>
          <w:szCs w:val="48"/>
          <w:rtl w:val="0"/>
        </w:rPr>
        <w:t xml:space="preserve"> </w:t>
      </w:r>
      <w:r w:rsidDel="00000000" w:rsidR="00000000" w:rsidRPr="00000000">
        <w:rPr>
          <w:rFonts w:ascii="Times New Roman" w:cs="Times New Roman" w:eastAsia="Times New Roman" w:hAnsi="Times New Roman"/>
          <w:b w:val="1"/>
          <w:sz w:val="48"/>
          <w:szCs w:val="48"/>
          <w:rtl w:val="0"/>
        </w:rPr>
        <w:t xml:space="preserve">Obec Sedlice</w:t>
      </w:r>
    </w:p>
    <w:p w:rsidR="00000000" w:rsidDel="00000000" w:rsidP="00000000" w:rsidRDefault="00000000" w:rsidRPr="00000000" w14:paraId="00000002">
      <w:pPr>
        <w:spacing w:after="0"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 sídlem v Sedlici č.p. 19, 262 42 Rožmitál pod Třemšínem </w:t>
      </w:r>
    </w:p>
    <w:p w:rsidR="00000000" w:rsidDel="00000000" w:rsidP="00000000" w:rsidRDefault="00000000" w:rsidRPr="00000000" w14:paraId="0000000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360" w:lineRule="auto"/>
        <w:contextualSpacing w:val="0"/>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PLÁN ROZVOJE SPORTU OBCE 2018 - 2027</w:t>
      </w:r>
    </w:p>
    <w:p w:rsidR="00000000" w:rsidDel="00000000" w:rsidP="00000000" w:rsidRDefault="00000000" w:rsidRPr="00000000" w14:paraId="0000000A">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tab/>
        <w:tab/>
        <w:tab/>
        <w:tab/>
        <w:tab/>
        <w:tab/>
        <w:tab/>
        <w:tab/>
        <w:tab/>
        <w:tab/>
        <w:tab/>
        <w:tab/>
        <w:tab/>
        <w:tab/>
        <w:tab/>
        <w:tab/>
        <w:tab/>
      </w:r>
    </w:p>
    <w:p w:rsidR="00000000" w:rsidDel="00000000" w:rsidP="00000000" w:rsidRDefault="00000000" w:rsidRPr="00000000" w14:paraId="0000000B">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Č</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lánek I.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Úvodní ustanovení</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9"/>
        </w:numPr>
        <w:spacing w:after="0" w:lineRule="auto"/>
        <w:ind w:left="786"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Strategický plán rozvoje sportu v obci Sedlice je zpracován dle zákona č. 230/2016 Sb., kterým se mění zákon č. 115/2001 Sb., o podpoře sportu, ve znění pozdějších předpisů.</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Koncepce podpory sportu je otevřeným dokumentem, který se může měnit či doplňovat v závislosti na prioritách a potřebách obce.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Cílem strategického plánu sportu obecně je podpořit sport ve všech jeho rovinách a stanovit způsob financování podpory sportu v obci.</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Č</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lánek II.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Základní pojmy</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 všeobecn</w:t>
      </w:r>
      <w:r w:rsidDel="00000000" w:rsidR="00000000" w:rsidRPr="00000000">
        <w:rPr>
          <w:rFonts w:ascii="Times New Roman" w:cs="Times New Roman" w:eastAsia="Times New Roman" w:hAnsi="Times New Roman"/>
          <w:b w:val="1"/>
          <w:sz w:val="24"/>
          <w:szCs w:val="24"/>
          <w:rtl w:val="0"/>
        </w:rPr>
        <w:t xml:space="preserve">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sportovní činnosti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Veškeré formy tělesné aktivity, které jsou provozovány příležitostně nebo organizovaně a usilují o dosažení nebo vylepšení fyzické kondice a duševní pohody, upevňování zdrav</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dosažení výsledku v soutěžích na všech úrovních či rozvoj společenských vztahů.</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 pro všechny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Zájmový, organizovaný nebo neorganizovaný sport a pohybové aktivity občanů, rekreačního, soutěžního i nesoutěžního charakteru. Motivací a hodnotami jsou pohybové vyžití, zábava, sociální kontakt, udržení nebo zlepšení zdravotní i psychické kondice.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Sportovní kluby a tělovýchovná jednota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Právní subjekty, zpravidla spolky</w:t>
      </w:r>
      <w:r w:rsidDel="00000000" w:rsidR="00000000" w:rsidRPr="00000000">
        <w:rPr>
          <w:rFonts w:ascii="Times New Roman" w:cs="Times New Roman" w:eastAsia="Times New Roman" w:hAnsi="Times New Roman"/>
          <w:sz w:val="24"/>
          <w:szCs w:val="24"/>
          <w:rtl w:val="0"/>
        </w:rPr>
        <w:t xml:space="preserve"> založené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 účelem zajišťování a provozování sportu a pohybových aktivit občanů.</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Sportovní akce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Jednotlivá organizovaná sportovní soutěž, závod, zápas, hra nebo jiná aktivita sportovního charakteru.</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Dobrovolník a dobrovolnictví</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Cvičitel, trenér, instruktor, asistent, rozhodčí, volený nebo dobrovolný činovník, podílející se na zajištění činnosti spolku bez nároku na odměnu. Dobrovolnictví ve sportu je vědomá, svobodně zvolená činnost osob, které ve svém volném čase působí ve sportovním prostředí ve prospěch druhých, bez nároku na odměnu, zpravidla v oblasti vyžadující ze zákona či z jiných předpisů odbornou kvalifikaci.</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86" w:right="0" w:hanging="360"/>
        <w:contextualSpacing w:val="1"/>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Komise pro kulturu, sport a volný čas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 poradní orgán zastupitelstva obce. Jeho členy jsou vybraní občané, podílející se na sportovních činnostech v obci.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w:t>
      </w:r>
      <w:r w:rsidDel="00000000" w:rsidR="00000000" w:rsidRPr="00000000">
        <w:rPr>
          <w:rFonts w:ascii="Times New Roman" w:cs="Times New Roman" w:eastAsia="Times New Roman" w:hAnsi="Times New Roman"/>
          <w:b w:val="1"/>
          <w:sz w:val="24"/>
          <w:szCs w:val="24"/>
          <w:rtl w:val="0"/>
        </w:rPr>
        <w:t xml:space="preserve">lánek III. </w:t>
      </w:r>
    </w:p>
    <w:p w:rsidR="00000000" w:rsidDel="00000000" w:rsidP="00000000" w:rsidRDefault="00000000" w:rsidRPr="00000000" w14:paraId="00000030">
      <w:pP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Úloha obce v zajišťování sportu</w:t>
      </w:r>
    </w:p>
    <w:p w:rsidR="00000000" w:rsidDel="00000000" w:rsidP="00000000" w:rsidRDefault="00000000" w:rsidRPr="00000000" w14:paraId="0000003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Péče o sport patří ze zákona mezi úkoly obce.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Sportovní politika obce se odvíjí od potřeb obce a jejích občanů a vychází z jejich kulturně historických tradic.</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Obec se spolupodílí na financování sportu, ale zároveň koordinuje činnost sportovních subjektů ve prospěch obce, resp. svých občanů a kontroluje efektivnost vynaložených veřejných zdrojů. Zároveň dochází k naplňování povinnosti obce pečovat o vytváření podmínek pro uspokojování potřeb svých občanů, zejména potřeby ochrany a rozvoje zdrav</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výchovy a vzdělávání, celkového kulturního rozvoje a ochrany veřejného pořádku.</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Hlavní úkoly obce:</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Zabezpečovat rozvoj sportu pro všechny, včetně zdravotně postižených občanů</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46"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zajišťovat výstavbu, rekonstrukc</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údržbu a provoz svých sportovních zařízení a zkvalitňovat je pro sportovní činnost občanů</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podporovat další provozovatele sportovních zařízení, včetně finanční pomoci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kontrolovat účelné využívání svých sportovních zařízen</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zabezpečovat finanční podporu sportu ze svého rozpočtu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46" w:righ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6"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podporovat úspěšné místní sportovce a jejich reprezentaci obce.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Rule="auto"/>
        <w:ind w:left="786"/>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Článek IV.</w:t>
      </w:r>
    </w:p>
    <w:p w:rsidR="00000000" w:rsidDel="00000000" w:rsidP="00000000" w:rsidRDefault="00000000" w:rsidRPr="00000000" w14:paraId="00000047">
      <w:pPr>
        <w:ind w:left="786"/>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Oblasti podpory sportu v obci</w:t>
      </w:r>
    </w:p>
    <w:p w:rsidR="00000000" w:rsidDel="00000000" w:rsidP="00000000" w:rsidRDefault="00000000" w:rsidRPr="00000000" w14:paraId="00000048">
      <w:pPr>
        <w:ind w:left="786"/>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Obec vychází vstříc spolkovým aktivitám, má zpracovaný systém finanční podpory formou individuálních dotací poskytovaných z rozpočtu obce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Obec si je vědoma důležitosti spontánního sdružování ,,zdola", od kterého se odvíjí sounáležitost občanů se svojí obcí.</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 dětí a mládeže</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Pojem</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Aktivní pohyb dětí a mládeže je potřebný pro zdravý tělesný růst a  psychický vývoj. Poskytnutí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smysluplné činnosti, určení cíle, posk</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tnutí pocitu sounáležitosti s okolím, navození pocitu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bezpečí. Nejlepší způsob vlivu na chování dětí na mládeže.</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560" w:right="0" w:hanging="774"/>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Zásadní význam</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Výchovný prostředek, socializační faktor, účinná forma prevence sociálně patologických jevů</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 chování dětí a mládeže, důležitý prvek v harmonickém a zdravém vývoji mladého člověka.</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560" w:right="0" w:hanging="774"/>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Cíl podpory</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Podnícení zájmu o sport. Vypěstování potřeby sportu jako samozřejmé součásti zdravého životního stylu. Nabídka smysluplné zábavy a současn</w:t>
      </w:r>
      <w:r w:rsidDel="00000000" w:rsidR="00000000" w:rsidRPr="00000000">
        <w:rPr>
          <w:rFonts w:ascii="Times New Roman" w:cs="Times New Roman" w:eastAsia="Times New Roman" w:hAnsi="Times New Roman"/>
          <w:sz w:val="24"/>
          <w:szCs w:val="24"/>
          <w:rtl w:val="0"/>
        </w:rPr>
        <w:t xml:space="preserve">ě</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rozvíjení schopností a dovedností v této oblasti.</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560" w:right="0" w:hanging="774"/>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Priorita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Údržba stávajících sportovních zařízen</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ve vlastnictví obce, jejich případná modernizace souladu s potřebami.</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Podpora rozvoje tělesné výchovy a pohybových aktivit dětí a mládeže.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odpora sportovních akcí a organizačního zajištění sportovních akcí pro děti a mládež.</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odpora a rozvoj talentovaných dětí a mládeže.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86"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Sport pro všechny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86" w:right="0" w:hanging="72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Pojem</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Organizovaný a neorganizovaný sport a sportovní volnočasové aktivity určené širokým vrstvám obyvatelstva bez ohledu na věk, li</w:t>
      </w:r>
      <w:r w:rsidDel="00000000" w:rsidR="00000000" w:rsidRPr="00000000">
        <w:rPr>
          <w:rFonts w:ascii="Times New Roman" w:cs="Times New Roman" w:eastAsia="Times New Roman" w:hAnsi="Times New Roman"/>
          <w:sz w:val="24"/>
          <w:szCs w:val="24"/>
          <w:rtl w:val="0"/>
        </w:rPr>
        <w:t xml:space="preserve">dskou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rasu, národnost, společenskou třídu nebo pohlaví.</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Zásadní význam</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Naplňování myšlenek zdravotního životního stylu, sociální kontakt, smysluplné trávení volného času, seberealizace, aktivní odpočinek.</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Cíl podpory</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Vytvoření kvalitních a finančně dostupných možností sportovního vyžití a aktivní zábavy pro všechny věkové kategorie žijící na území obce.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Priorita</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hanging="435"/>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Údržba stávajících sportovních zařízení ve vlastnictví obce, jejich případná</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modernizace v souladu s potřebami obce (Multifunkční </w:t>
      </w:r>
      <w:r w:rsidDel="00000000" w:rsidR="00000000" w:rsidRPr="00000000">
        <w:rPr>
          <w:rFonts w:ascii="Times New Roman" w:cs="Times New Roman" w:eastAsia="Times New Roman" w:hAnsi="Times New Roman"/>
          <w:sz w:val="24"/>
          <w:szCs w:val="24"/>
          <w:rtl w:val="0"/>
        </w:rPr>
        <w:t xml:space="preserve">sportovní areál 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Hoděmyšli).</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odpora údržby sportovních zařízení ve vlastnictví spolků.</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spacing w:line="276"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Podpora, příp. spolupořadatelství, sportovních akcí, vesnických her.</w:t>
      </w:r>
      <w:r w:rsidDel="00000000" w:rsidR="00000000" w:rsidRPr="00000000">
        <w:rPr>
          <w:rtl w:val="0"/>
        </w:rPr>
      </w:r>
    </w:p>
    <w:p w:rsidR="00000000" w:rsidDel="00000000" w:rsidP="00000000" w:rsidRDefault="00000000" w:rsidRPr="00000000" w14:paraId="00000080">
      <w:pPr>
        <w:spacing w:line="276"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Podpora nejrůznějších pohybových aktivit.</w:t>
      </w:r>
    </w:p>
    <w:p w:rsidR="00000000" w:rsidDel="00000000" w:rsidP="00000000" w:rsidRDefault="00000000" w:rsidRPr="00000000" w14:paraId="00000081">
      <w:pPr>
        <w:spacing w:line="276"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Podpora úspěšných místních sportovců.</w:t>
      </w:r>
    </w:p>
    <w:p w:rsidR="00000000" w:rsidDel="00000000" w:rsidP="00000000" w:rsidRDefault="00000000" w:rsidRPr="00000000" w14:paraId="00000082">
      <w:pPr>
        <w:spacing w:line="276"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Článek V.</w:t>
      </w:r>
    </w:p>
    <w:p w:rsidR="00000000" w:rsidDel="00000000" w:rsidP="00000000" w:rsidRDefault="00000000" w:rsidRPr="00000000" w14:paraId="00000084">
      <w:pPr>
        <w:spacing w:line="276"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Formy podpory sportu v obci</w:t>
      </w:r>
    </w:p>
    <w:p w:rsidR="00000000" w:rsidDel="00000000" w:rsidP="00000000" w:rsidRDefault="00000000" w:rsidRPr="00000000" w14:paraId="00000085">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15"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Přímá podpora (finanční)</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5" w:right="0" w:hanging="72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7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ozpočtovaná v rámci rozpočtu obce.</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33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Pořízení sportovních zařízení nebo jejich částí, nákup vybavení sportovních zařízení.</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33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revitalizace a opravy sportovních zařízení ve vlastnictví obce a jejich vybavení.</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33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běžná údržba a opravy vybavení multifunkčního hřiště. </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335" w:right="0" w:hanging="768"/>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97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Poskytovaná jako dotace v souladu s platným programem nebo pravidly poskytování dotací z rozpočtu obce třetím osobám.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75"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75" w:right="0" w:hanging="720"/>
        <w:contextualSpacing w:val="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15" w:right="0" w:hanging="360"/>
        <w:contextualSpacing w:val="1"/>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Nepřímá podpora</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15" w:right="0" w:hanging="72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7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Ú</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držba stávajících sportovních zařízení, vybavení k volnočasovým aktivitám apod.</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75"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7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Z</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veřejňování pořádaných sportovních akcí a jejich výsledků.</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7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ropagace sportovních akcí, možnost uveřejňován</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postřehů a informací ze sportovních akcí.</w:t>
      </w:r>
    </w:p>
    <w:p w:rsidR="00000000" w:rsidDel="00000000" w:rsidP="00000000" w:rsidRDefault="00000000" w:rsidRPr="00000000" w14:paraId="0000009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975"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ožnost bezplatné o využívání pozemků ve vlastnictví obce při pořád</w:t>
      </w:r>
      <w:r w:rsidDel="00000000" w:rsidR="00000000" w:rsidRPr="00000000">
        <w:rPr>
          <w:rFonts w:ascii="Times New Roman" w:cs="Times New Roman" w:eastAsia="Times New Roman" w:hAnsi="Times New Roman"/>
          <w:sz w:val="24"/>
          <w:szCs w:val="24"/>
          <w:rtl w:val="0"/>
        </w:rPr>
        <w:t xml:space="preserve">á</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ní sportovních akcí.</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75" w:right="0" w:hanging="72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Č</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lánek VI.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75"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Z</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ávěrečná ustanovení</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75" w:right="0" w:hanging="72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644"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Strategický Plán rozvoje sportu Sedlic</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schválilo Zastupitelstvo obce Sedlice na svém zasedán</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konaném dn</w:t>
      </w:r>
      <w:r w:rsidDel="00000000" w:rsidR="00000000" w:rsidRPr="00000000">
        <w:rPr>
          <w:rFonts w:ascii="Times New Roman" w:cs="Times New Roman" w:eastAsia="Times New Roman" w:hAnsi="Times New Roman"/>
          <w:sz w:val="24"/>
          <w:szCs w:val="24"/>
          <w:rtl w:val="0"/>
        </w:rPr>
        <w:t xml:space="preserve">e 22.6.</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2018 usnesením č. </w:t>
      </w:r>
      <w:r w:rsidDel="00000000" w:rsidR="00000000" w:rsidRPr="00000000">
        <w:rPr>
          <w:rFonts w:ascii="Times New Roman" w:cs="Times New Roman" w:eastAsia="Times New Roman" w:hAnsi="Times New Roman"/>
          <w:sz w:val="24"/>
          <w:szCs w:val="24"/>
          <w:rtl w:val="0"/>
        </w:rPr>
        <w:t xml:space="preserve">20/6/2018.</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644" w:righ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644" w:right="0" w:hanging="360"/>
        <w:contextualSpacing w:val="1"/>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Strategický Plán rozvoje sportu v Sedlici je zveřejněn na webových stránkách obce Sedlice, na adrese: www.sedlice-obec.cz nebo je dostupný ve fyzické podobě na obecním úřadě.</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ind w:left="644"/>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w:t>
      </w:r>
    </w:p>
    <w:p w:rsidR="00000000" w:rsidDel="00000000" w:rsidP="00000000" w:rsidRDefault="00000000" w:rsidRPr="00000000" w14:paraId="000000A2">
      <w:pPr>
        <w:spacing w:line="240" w:lineRule="auto"/>
        <w:ind w:left="708"/>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Ing. Zuzana Šourková</w:t>
        <w:tab/>
        <w:tab/>
        <w:tab/>
        <w:tab/>
        <w:tab/>
        <w:t xml:space="preserve">František Jeníček</w:t>
      </w:r>
    </w:p>
    <w:p w:rsidR="00000000" w:rsidDel="00000000" w:rsidP="00000000" w:rsidRDefault="00000000" w:rsidRPr="00000000" w14:paraId="000000A3">
      <w:pPr>
        <w:spacing w:line="240" w:lineRule="auto"/>
        <w:ind w:left="708"/>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starosta obce</w:t>
        <w:tab/>
        <w:tab/>
        <w:tab/>
        <w:tab/>
        <w:tab/>
        <w:tab/>
        <w:t xml:space="preserve">místostarosta obce</w:t>
      </w:r>
    </w:p>
    <w:sectPr>
      <w:pgSz w:h="16838" w:w="11906"/>
      <w:pgMar w:bottom="709" w:top="1276" w:left="1417.3228346456694"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decimal"/>
      <w:lvlText w:val="%1."/>
      <w:lvlJc w:val="left"/>
      <w:pPr>
        <w:ind w:left="615" w:hanging="360"/>
      </w:pPr>
      <w:rPr/>
    </w:lvl>
    <w:lvl w:ilvl="1">
      <w:start w:val="1"/>
      <w:numFmt w:val="lowerLetter"/>
      <w:lvlText w:val="%2."/>
      <w:lvlJc w:val="left"/>
      <w:pPr>
        <w:ind w:left="1335" w:hanging="360"/>
      </w:pPr>
      <w:rPr/>
    </w:lvl>
    <w:lvl w:ilvl="2">
      <w:start w:val="1"/>
      <w:numFmt w:val="lowerRoman"/>
      <w:lvlText w:val="%3."/>
      <w:lvlJc w:val="right"/>
      <w:pPr>
        <w:ind w:left="2055" w:hanging="180"/>
      </w:pPr>
      <w:rPr/>
    </w:lvl>
    <w:lvl w:ilvl="3">
      <w:start w:val="1"/>
      <w:numFmt w:val="decimal"/>
      <w:lvlText w:val="%4."/>
      <w:lvlJc w:val="left"/>
      <w:pPr>
        <w:ind w:left="2775" w:hanging="360"/>
      </w:pPr>
      <w:rPr/>
    </w:lvl>
    <w:lvl w:ilvl="4">
      <w:start w:val="1"/>
      <w:numFmt w:val="lowerLetter"/>
      <w:lvlText w:val="%5."/>
      <w:lvlJc w:val="left"/>
      <w:pPr>
        <w:ind w:left="3495" w:hanging="360"/>
      </w:pPr>
      <w:rPr/>
    </w:lvl>
    <w:lvl w:ilvl="5">
      <w:start w:val="1"/>
      <w:numFmt w:val="lowerRoman"/>
      <w:lvlText w:val="%6."/>
      <w:lvlJc w:val="right"/>
      <w:pPr>
        <w:ind w:left="4215" w:hanging="180"/>
      </w:pPr>
      <w:rPr/>
    </w:lvl>
    <w:lvl w:ilvl="6">
      <w:start w:val="1"/>
      <w:numFmt w:val="decimal"/>
      <w:lvlText w:val="%7."/>
      <w:lvlJc w:val="left"/>
      <w:pPr>
        <w:ind w:left="4935" w:hanging="360"/>
      </w:pPr>
      <w:rPr/>
    </w:lvl>
    <w:lvl w:ilvl="7">
      <w:start w:val="1"/>
      <w:numFmt w:val="lowerLetter"/>
      <w:lvlText w:val="%8."/>
      <w:lvlJc w:val="left"/>
      <w:pPr>
        <w:ind w:left="5655" w:hanging="360"/>
      </w:pPr>
      <w:rPr/>
    </w:lvl>
    <w:lvl w:ilvl="8">
      <w:start w:val="1"/>
      <w:numFmt w:val="lowerRoman"/>
      <w:lvlText w:val="%9."/>
      <w:lvlJc w:val="right"/>
      <w:pPr>
        <w:ind w:left="6375" w:hanging="180"/>
      </w:pPr>
      <w:rPr/>
    </w:lvl>
  </w:abstractNum>
  <w:abstractNum w:abstractNumId="4">
    <w:lvl w:ilvl="0">
      <w:start w:val="1"/>
      <w:numFmt w:val="lowerLetter"/>
      <w:lvlText w:val="%1)"/>
      <w:lvlJc w:val="left"/>
      <w:pPr>
        <w:ind w:left="975" w:hanging="360"/>
      </w:pPr>
      <w:rPr>
        <w:b w:val="1"/>
      </w:rPr>
    </w:lvl>
    <w:lvl w:ilvl="1">
      <w:start w:val="1"/>
      <w:numFmt w:val="lowerLetter"/>
      <w:lvlText w:val="%2."/>
      <w:lvlJc w:val="left"/>
      <w:pPr>
        <w:ind w:left="1695" w:hanging="360"/>
      </w:pPr>
      <w:rPr/>
    </w:lvl>
    <w:lvl w:ilvl="2">
      <w:start w:val="1"/>
      <w:numFmt w:val="lowerRoman"/>
      <w:lvlText w:val="%3."/>
      <w:lvlJc w:val="right"/>
      <w:pPr>
        <w:ind w:left="2415" w:hanging="180"/>
      </w:pPr>
      <w:rPr/>
    </w:lvl>
    <w:lvl w:ilvl="3">
      <w:start w:val="1"/>
      <w:numFmt w:val="decimal"/>
      <w:lvlText w:val="%4."/>
      <w:lvlJc w:val="left"/>
      <w:pPr>
        <w:ind w:left="3135" w:hanging="360"/>
      </w:pPr>
      <w:rPr/>
    </w:lvl>
    <w:lvl w:ilvl="4">
      <w:start w:val="1"/>
      <w:numFmt w:val="lowerLetter"/>
      <w:lvlText w:val="%5."/>
      <w:lvlJc w:val="left"/>
      <w:pPr>
        <w:ind w:left="3855" w:hanging="360"/>
      </w:pPr>
      <w:rPr/>
    </w:lvl>
    <w:lvl w:ilvl="5">
      <w:start w:val="1"/>
      <w:numFmt w:val="lowerRoman"/>
      <w:lvlText w:val="%6."/>
      <w:lvlJc w:val="right"/>
      <w:pPr>
        <w:ind w:left="4575" w:hanging="180"/>
      </w:pPr>
      <w:rPr/>
    </w:lvl>
    <w:lvl w:ilvl="6">
      <w:start w:val="1"/>
      <w:numFmt w:val="decimal"/>
      <w:lvlText w:val="%7."/>
      <w:lvlJc w:val="left"/>
      <w:pPr>
        <w:ind w:left="5295" w:hanging="360"/>
      </w:pPr>
      <w:rPr/>
    </w:lvl>
    <w:lvl w:ilvl="7">
      <w:start w:val="1"/>
      <w:numFmt w:val="lowerLetter"/>
      <w:lvlText w:val="%8."/>
      <w:lvlJc w:val="left"/>
      <w:pPr>
        <w:ind w:left="6015" w:hanging="360"/>
      </w:pPr>
      <w:rPr/>
    </w:lvl>
    <w:lvl w:ilvl="8">
      <w:start w:val="1"/>
      <w:numFmt w:val="lowerRoman"/>
      <w:lvlText w:val="%9."/>
      <w:lvlJc w:val="right"/>
      <w:pPr>
        <w:ind w:left="6735" w:hanging="180"/>
      </w:pPr>
      <w:rPr/>
    </w:lvl>
  </w:abstractNum>
  <w:abstractNum w:abstractNumId="5">
    <w:lvl w:ilvl="0">
      <w:start w:val="1"/>
      <w:numFmt w:val="decimal"/>
      <w:lvlText w:val="%1."/>
      <w:lvlJc w:val="left"/>
      <w:pPr>
        <w:ind w:left="644" w:hanging="359.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bullet"/>
      <w:lvlText w:val="-"/>
      <w:lvlJc w:val="left"/>
      <w:pPr>
        <w:ind w:left="1335" w:hanging="360"/>
      </w:pPr>
      <w:rPr>
        <w:rFonts w:ascii="Calibri" w:cs="Calibri" w:eastAsia="Calibri" w:hAnsi="Calibri"/>
        <w:b w:val="0"/>
        <w:sz w:val="22"/>
        <w:szCs w:val="22"/>
      </w:rPr>
    </w:lvl>
    <w:lvl w:ilvl="1">
      <w:start w:val="1"/>
      <w:numFmt w:val="bullet"/>
      <w:lvlText w:val="o"/>
      <w:lvlJc w:val="left"/>
      <w:pPr>
        <w:ind w:left="2055" w:hanging="360"/>
      </w:pPr>
      <w:rPr>
        <w:rFonts w:ascii="Courier New" w:cs="Courier New" w:eastAsia="Courier New" w:hAnsi="Courier New"/>
      </w:rPr>
    </w:lvl>
    <w:lvl w:ilvl="2">
      <w:start w:val="1"/>
      <w:numFmt w:val="bullet"/>
      <w:lvlText w:val="▪"/>
      <w:lvlJc w:val="left"/>
      <w:pPr>
        <w:ind w:left="2775" w:hanging="360"/>
      </w:pPr>
      <w:rPr>
        <w:rFonts w:ascii="Noto Sans Symbols" w:cs="Noto Sans Symbols" w:eastAsia="Noto Sans Symbols" w:hAnsi="Noto Sans Symbols"/>
      </w:rPr>
    </w:lvl>
    <w:lvl w:ilvl="3">
      <w:start w:val="1"/>
      <w:numFmt w:val="bullet"/>
      <w:lvlText w:val="●"/>
      <w:lvlJc w:val="left"/>
      <w:pPr>
        <w:ind w:left="3495" w:hanging="360"/>
      </w:pPr>
      <w:rPr>
        <w:rFonts w:ascii="Noto Sans Symbols" w:cs="Noto Sans Symbols" w:eastAsia="Noto Sans Symbols" w:hAnsi="Noto Sans Symbols"/>
      </w:rPr>
    </w:lvl>
    <w:lvl w:ilvl="4">
      <w:start w:val="1"/>
      <w:numFmt w:val="bullet"/>
      <w:lvlText w:val="o"/>
      <w:lvlJc w:val="left"/>
      <w:pPr>
        <w:ind w:left="4215" w:hanging="360"/>
      </w:pPr>
      <w:rPr>
        <w:rFonts w:ascii="Courier New" w:cs="Courier New" w:eastAsia="Courier New" w:hAnsi="Courier New"/>
      </w:rPr>
    </w:lvl>
    <w:lvl w:ilvl="5">
      <w:start w:val="1"/>
      <w:numFmt w:val="bullet"/>
      <w:lvlText w:val="▪"/>
      <w:lvlJc w:val="left"/>
      <w:pPr>
        <w:ind w:left="4935" w:hanging="360"/>
      </w:pPr>
      <w:rPr>
        <w:rFonts w:ascii="Noto Sans Symbols" w:cs="Noto Sans Symbols" w:eastAsia="Noto Sans Symbols" w:hAnsi="Noto Sans Symbols"/>
      </w:rPr>
    </w:lvl>
    <w:lvl w:ilvl="6">
      <w:start w:val="1"/>
      <w:numFmt w:val="bullet"/>
      <w:lvlText w:val="●"/>
      <w:lvlJc w:val="left"/>
      <w:pPr>
        <w:ind w:left="5655" w:hanging="360"/>
      </w:pPr>
      <w:rPr>
        <w:rFonts w:ascii="Noto Sans Symbols" w:cs="Noto Sans Symbols" w:eastAsia="Noto Sans Symbols" w:hAnsi="Noto Sans Symbols"/>
      </w:rPr>
    </w:lvl>
    <w:lvl w:ilvl="7">
      <w:start w:val="1"/>
      <w:numFmt w:val="bullet"/>
      <w:lvlText w:val="o"/>
      <w:lvlJc w:val="left"/>
      <w:pPr>
        <w:ind w:left="6375" w:hanging="360"/>
      </w:pPr>
      <w:rPr>
        <w:rFonts w:ascii="Courier New" w:cs="Courier New" w:eastAsia="Courier New" w:hAnsi="Courier New"/>
      </w:rPr>
    </w:lvl>
    <w:lvl w:ilvl="8">
      <w:start w:val="1"/>
      <w:numFmt w:val="bullet"/>
      <w:lvlText w:val="▪"/>
      <w:lvlJc w:val="left"/>
      <w:pPr>
        <w:ind w:left="7095" w:hanging="360"/>
      </w:pPr>
      <w:rPr>
        <w:rFonts w:ascii="Noto Sans Symbols" w:cs="Noto Sans Symbols" w:eastAsia="Noto Sans Symbols" w:hAnsi="Noto Sans Symbols"/>
      </w:rPr>
    </w:lvl>
  </w:abstractNum>
  <w:abstractNum w:abstractNumId="7">
    <w:lvl w:ilvl="0">
      <w:start w:val="1"/>
      <w:numFmt w:val="lowerLetter"/>
      <w:lvlText w:val="%1)"/>
      <w:lvlJc w:val="left"/>
      <w:pPr>
        <w:ind w:left="975" w:hanging="360"/>
      </w:pPr>
      <w:rPr>
        <w:b w:val="1"/>
      </w:rPr>
    </w:lvl>
    <w:lvl w:ilvl="1">
      <w:start w:val="1"/>
      <w:numFmt w:val="lowerLetter"/>
      <w:lvlText w:val="%2."/>
      <w:lvlJc w:val="left"/>
      <w:pPr>
        <w:ind w:left="1695" w:hanging="360"/>
      </w:pPr>
      <w:rPr/>
    </w:lvl>
    <w:lvl w:ilvl="2">
      <w:start w:val="1"/>
      <w:numFmt w:val="lowerRoman"/>
      <w:lvlText w:val="%3."/>
      <w:lvlJc w:val="right"/>
      <w:pPr>
        <w:ind w:left="2415" w:hanging="180"/>
      </w:pPr>
      <w:rPr/>
    </w:lvl>
    <w:lvl w:ilvl="3">
      <w:start w:val="1"/>
      <w:numFmt w:val="decimal"/>
      <w:lvlText w:val="%4."/>
      <w:lvlJc w:val="left"/>
      <w:pPr>
        <w:ind w:left="3135" w:hanging="360"/>
      </w:pPr>
      <w:rPr/>
    </w:lvl>
    <w:lvl w:ilvl="4">
      <w:start w:val="1"/>
      <w:numFmt w:val="lowerLetter"/>
      <w:lvlText w:val="%5."/>
      <w:lvlJc w:val="left"/>
      <w:pPr>
        <w:ind w:left="3855" w:hanging="360"/>
      </w:pPr>
      <w:rPr/>
    </w:lvl>
    <w:lvl w:ilvl="5">
      <w:start w:val="1"/>
      <w:numFmt w:val="lowerRoman"/>
      <w:lvlText w:val="%6."/>
      <w:lvlJc w:val="right"/>
      <w:pPr>
        <w:ind w:left="4575" w:hanging="180"/>
      </w:pPr>
      <w:rPr/>
    </w:lvl>
    <w:lvl w:ilvl="6">
      <w:start w:val="1"/>
      <w:numFmt w:val="decimal"/>
      <w:lvlText w:val="%7."/>
      <w:lvlJc w:val="left"/>
      <w:pPr>
        <w:ind w:left="5295" w:hanging="360"/>
      </w:pPr>
      <w:rPr/>
    </w:lvl>
    <w:lvl w:ilvl="7">
      <w:start w:val="1"/>
      <w:numFmt w:val="lowerLetter"/>
      <w:lvlText w:val="%8."/>
      <w:lvlJc w:val="left"/>
      <w:pPr>
        <w:ind w:left="6015" w:hanging="360"/>
      </w:pPr>
      <w:rPr/>
    </w:lvl>
    <w:lvl w:ilvl="8">
      <w:start w:val="1"/>
      <w:numFmt w:val="lowerRoman"/>
      <w:lvlText w:val="%9."/>
      <w:lvlJc w:val="right"/>
      <w:pPr>
        <w:ind w:left="6735" w:hanging="180"/>
      </w:pPr>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86" w:hanging="360.00000000000006"/>
      </w:pPr>
      <w:rPr>
        <w:rFonts w:ascii="Times New Roman" w:cs="Times New Roman" w:eastAsia="Times New Roman" w:hAnsi="Times New Roman"/>
        <w:b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1">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